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полуприцепа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впередиидущего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совершенном правонарушении признал полностью, в содеянном раскаялся, пояснил, что совершил правонарушение не умышленно, дорога была грязной, разметка отсутствовала, а знак он не заметил, просил не лишать его прав, так как он работает водителем и автомобиль его единственный заработок.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650 км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И.Х., управляя транспортным средством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составе полуприцепа совершил обгон впередиидущего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путевого листа № 100002 на транспортное средство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4rplc-4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872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18810486240</w:t>
      </w:r>
      <w:r>
        <w:rPr>
          <w:rFonts w:ascii="Times New Roman" w:eastAsia="Times New Roman" w:hAnsi="Times New Roman" w:cs="Times New Roman"/>
        </w:rPr>
        <w:t>730004627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8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Timegrp-25rplc-30">
    <w:name w:val="cat-Time grp-2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CarNumbergrp-26rplc-37">
    <w:name w:val="cat-CarNumber grp-26 rplc-37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SumInWordsgrp-23rplc-52">
    <w:name w:val="cat-SumInWords grp-2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